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F30" w:rsidRPr="00BB1312" w:rsidRDefault="00163F30" w:rsidP="00163F30">
      <w:pPr>
        <w:shd w:val="clear" w:color="auto" w:fill="FFFFFF"/>
        <w:spacing w:after="255" w:line="300" w:lineRule="atLeast"/>
        <w:jc w:val="center"/>
        <w:outlineLvl w:val="1"/>
        <w:rPr>
          <w:rFonts w:ascii="Times New Roman" w:eastAsia="Times New Roman" w:hAnsi="Times New Roman" w:cs="Times New Roman"/>
          <w:b/>
          <w:bCs/>
          <w:color w:val="4D4D4D"/>
          <w:sz w:val="36"/>
          <w:szCs w:val="36"/>
          <w:lang w:eastAsia="ru-RU"/>
        </w:rPr>
      </w:pPr>
      <w:r w:rsidRPr="00BB1312">
        <w:rPr>
          <w:rFonts w:ascii="Times New Roman" w:eastAsia="Times New Roman" w:hAnsi="Times New Roman" w:cs="Times New Roman"/>
          <w:b/>
          <w:bCs/>
          <w:color w:val="4D4D4D"/>
          <w:sz w:val="36"/>
          <w:szCs w:val="36"/>
          <w:lang w:eastAsia="ru-RU"/>
        </w:rPr>
        <w:t>Постановление Пленума Верховного Суда РФ от 23 декабря 2021 г. № 45 “О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w:t>
      </w:r>
    </w:p>
    <w:p w:rsidR="00163F30" w:rsidRDefault="00163F30" w:rsidP="00163F30">
      <w:pPr>
        <w:shd w:val="clear" w:color="auto" w:fill="FFFFFF"/>
        <w:spacing w:after="180" w:line="240" w:lineRule="auto"/>
        <w:jc w:val="right"/>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27 декабря 2021</w:t>
      </w:r>
      <w:r>
        <w:rPr>
          <w:rFonts w:ascii="Times New Roman" w:eastAsia="Times New Roman" w:hAnsi="Times New Roman" w:cs="Times New Roman"/>
          <w:color w:val="333333"/>
          <w:sz w:val="28"/>
          <w:szCs w:val="28"/>
          <w:lang w:eastAsia="ru-RU"/>
        </w:rPr>
        <w:t>г.</w:t>
      </w:r>
    </w:p>
    <w:p w:rsidR="00163F30" w:rsidRPr="00163F30" w:rsidRDefault="00163F30" w:rsidP="00163F30">
      <w:pPr>
        <w:shd w:val="clear" w:color="auto" w:fill="FFFFFF"/>
        <w:spacing w:after="180" w:line="240" w:lineRule="auto"/>
        <w:jc w:val="right"/>
        <w:rPr>
          <w:rFonts w:ascii="Times New Roman" w:eastAsia="Times New Roman" w:hAnsi="Times New Roman" w:cs="Times New Roman"/>
          <w:color w:val="333333"/>
          <w:sz w:val="28"/>
          <w:szCs w:val="28"/>
          <w:lang w:eastAsia="ru-RU"/>
        </w:rPr>
      </w:pP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bookmarkStart w:id="0" w:name="0"/>
      <w:bookmarkEnd w:id="0"/>
      <w:r w:rsidRPr="00163F30">
        <w:rPr>
          <w:rFonts w:ascii="Times New Roman" w:eastAsia="Times New Roman" w:hAnsi="Times New Roman" w:cs="Times New Roman"/>
          <w:color w:val="333333"/>
          <w:sz w:val="28"/>
          <w:szCs w:val="28"/>
          <w:lang w:eastAsia="ru-RU"/>
        </w:rPr>
        <w:t>В связи с вопросами, возникающими в судебной практике при рассмотрении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 предусмотренных статьями 5.27 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Кодекса Российской Федерации об административных правонарушениях, Пленум Верховного Суда Российской Федерации, руководствуясь статьей 126 Конституции Российской Федерации, статьями 2 и 5 Федерального конституционного закона от 5 февраля 2014 года N 3-ФКЗ "О Верховном Суде Российской Федерации", постановляет дать следующие разъяснения:</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1. В Российской Федерации гарантируется создание необходимых правовых условий, способствующих реализации права каждого свободно распоряжаться своими способностями к труду, выбирать род деятельности и профессию. Данные условия предусматривают право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закрепляют право на труд в условиях, отвечающих требованиям безопасности и гигиены (статья 37, часть 5 статьи 75 Конституции Российской Федерации, статья 1 Трудового кодекса Российской Федерации (далее -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Российская Федерация, уважая труд граждан, обеспечивает защиту прав и свобод в сфере трудовых отношений, в том числе путем установления ответственности для лиц, допустивших нарушения правовых предписаний, включая административную ответственность, налагаемую в соответствии с нормами Кодекса Российской Федерации об административных правонарушениях (далее -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(часть 5 статьи 75 Конституции Российской Федерации, статья 419 ТК РФ, статьи 5.27-5.34, 5.40, 5.42, 14.54, 15.33</w:t>
      </w:r>
      <w:r w:rsidRPr="00163F30">
        <w:rPr>
          <w:rFonts w:ascii="Times New Roman" w:eastAsia="Times New Roman" w:hAnsi="Times New Roman" w:cs="Times New Roman"/>
          <w:color w:val="333333"/>
          <w:sz w:val="28"/>
          <w:szCs w:val="28"/>
          <w:vertAlign w:val="superscript"/>
          <w:lang w:eastAsia="ru-RU"/>
        </w:rPr>
        <w:t>2</w:t>
      </w:r>
      <w:r w:rsidRPr="00163F30">
        <w:rPr>
          <w:rFonts w:ascii="Times New Roman" w:eastAsia="Times New Roman" w:hAnsi="Times New Roman" w:cs="Times New Roman"/>
          <w:color w:val="333333"/>
          <w:sz w:val="28"/>
          <w:szCs w:val="28"/>
          <w:lang w:eastAsia="ru-RU"/>
        </w:rPr>
        <w:t xml:space="preserve">, 15.34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lastRenderedPageBreak/>
        <w:t>2. Рассмотрение дел об административных правонарушениях, предусмотренных частями 2, 5, 7 статьи 5.27, частью 5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относится к исключительной компетенции судей судов общей юрисдикции (часть 1 статьи 23.1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Ими также разрешаются дела об административных правонарушениях, закрепленных частями 1, 3, 4 и 6 статьи 5.27, частями 1-4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в случае, если должностное лицо, к которому поступило дело о таком административном правонарушении (статья 23.12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передает его на рассмотрение судье (часть 2 статьи 23.1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3. Статьей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предусмотрена ответственность за нарушение:</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трудового законодательства, которое состоит из Трудового кодекса Российской Федерации, иных федеральных законов и законов субъектов Российской Федерации, содержащих нормы трудового права;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иных нормативных правовых актов, содержащих нормы трудового права (указов Президента Российской Федерации, постановлений Правительства Российской Федерации и нормативных правовых актов федеральных органов исполнительной власти, органов исполнительной власти субъектов Российской Федерации, органов местного самоуправления) (статьи 5, 11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Нарушения государственных нормативных требований охраны труда, содержащихся в федеральных законах и иных нормативных правовых актах Российской Федерации, влекут административную ответственность по статье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Указанная норма является специальной по отношению к статье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При разрешении дел об административных правонарушениях, предусмотренных статьями 5.27 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подлежат применению общепризнанные принципы и нормы международного права и международные договоры Российской Федерации, а также коллективные договоры, соглашения и принятые во исполнение положений законов и иных нормативных правовых актов локальные нормативные акты, содержащие нормы трудового права (статьи 5, 8-10, часть вторая статьи 22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4.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lastRenderedPageBreak/>
        <w:t xml:space="preserve">Приведенные положения должны учитываться судьями, рассматривающими дела об административных правонарушениях, применительно к внесению изменений не только в Кодекс Российской Федерации об административных правонарушениях, но и в законы и иные нормативные правовые акты, содержащие нормы трудового права, за нарушение которых предусмотрена административная ответственность (часть 2 статьи 1.7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статья 12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5. При привлечении к административной ответственности судьям следует проверять, в том числе был ли на момент совершения административного правонарушения соблюден порядок государственной регистрации нормативного правового акта, содержащего нормы трудового права, нарушение которых явилось основанием для возбуждения дела об административном правонарушении (если государственная регистрация данного акта предусмотрена законодательством), а также порядок его опубликования и вступления в силу.</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6. Субъектами административной ответственности за нарушения трудового законодательства (включая законодательство об охране труда) и иных нормативных правовых актов, содержащих нормы трудового права, выступают в том числе: работодатели - юридические лица, лица, осуществляющие предпринимательскую деятельность без образования юридического лица (далее - работодатели), их должностные лица, допустившие нарушения в сфере трудовых отношений, возникающих между работником и работодателем (части 1, 2, 4-7 статьи 5.27, статья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физические или должностные лица, не уполномоченные работодателем на привлечение к трудовой деятельности иных лиц (части 3, 5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К числу должностных лиц, подлежащих привлечению к административной ответственности по статьям 5.27,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следует относить лиц, совершивших административные правонарушения в связи с неисполнением или ненадлежащим исполнением возложенных на них организационно-распорядительных или административно-хозяйственных функций (примечание к статье 2.4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Прекращение трудовых отношений с должностным лицом, в том числе руководителем организации,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 если нарушение было допущено им в период исполнения служебных обязанностей (статья 2.4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и не истек срок давности привлечения к административной ответственности, составляющий один год (часть 1 статьи 4.5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Государственная регистрация прекращения физическим лицом деятельности в качестве индивидуального предпринимателя не препятствует </w:t>
      </w:r>
      <w:r w:rsidRPr="00163F30">
        <w:rPr>
          <w:rFonts w:ascii="Times New Roman" w:eastAsia="Times New Roman" w:hAnsi="Times New Roman" w:cs="Times New Roman"/>
          <w:color w:val="333333"/>
          <w:sz w:val="28"/>
          <w:szCs w:val="28"/>
          <w:lang w:eastAsia="ru-RU"/>
        </w:rPr>
        <w:lastRenderedPageBreak/>
        <w:t>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 предусмотренные статьями 5.27,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При этом такому лицу назначается административное наказание, установленное для индивидуальных предпринимателей.</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Следует учитывать, что в период введения в отношении работодателя - юридического лица внешнего управления или конкурсного производства, а также после принятия арбитражным судом решения о признании выступающего в качестве работодателя индивидуального предпринимателя банкротом и о введении реализации имущества гражданина субъектом административных правонарушений, предусмотренных статьями 5.27,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может являться внешний, конкурсный, финансовый управляющий в случае осуществления им прав и обязанностей работодателя (статья 94, пункт 1 статьи 129, статья 214</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Федерального закона от 26 октября 2002 года N 127-ФЗ "О несостоятельности (банкротстве)", часть шестая статьи 20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7. Объективная сторона состава административного правонарушения, предусмотренного частью 1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выражается в действиях (бездействии), связанных с невыполнением (ненадлежащим выполнением) лицом обязанностей, установленных трудовым законодательством, иными нормативными правовыми актами, содержащими нормы трудового права, в том числе в несоблюдении срока утверждения графика отпусков (часть первая статьи 123 ТК РФ); </w:t>
      </w:r>
      <w:proofErr w:type="spellStart"/>
      <w:r w:rsidRPr="00163F30">
        <w:rPr>
          <w:rFonts w:ascii="Times New Roman" w:eastAsia="Times New Roman" w:hAnsi="Times New Roman" w:cs="Times New Roman"/>
          <w:color w:val="333333"/>
          <w:sz w:val="28"/>
          <w:szCs w:val="28"/>
          <w:lang w:eastAsia="ru-RU"/>
        </w:rPr>
        <w:t>непроведении</w:t>
      </w:r>
      <w:proofErr w:type="spellEnd"/>
      <w:r w:rsidRPr="00163F30">
        <w:rPr>
          <w:rFonts w:ascii="Times New Roman" w:eastAsia="Times New Roman" w:hAnsi="Times New Roman" w:cs="Times New Roman"/>
          <w:color w:val="333333"/>
          <w:sz w:val="28"/>
          <w:szCs w:val="28"/>
          <w:lang w:eastAsia="ru-RU"/>
        </w:rPr>
        <w:t xml:space="preserve"> индексации оплаты труда работников организации при наличии установленного порядка указанной индексации (статья 134 ТК РФ); </w:t>
      </w:r>
      <w:proofErr w:type="spellStart"/>
      <w:r w:rsidRPr="00163F30">
        <w:rPr>
          <w:rFonts w:ascii="Times New Roman" w:eastAsia="Times New Roman" w:hAnsi="Times New Roman" w:cs="Times New Roman"/>
          <w:color w:val="333333"/>
          <w:sz w:val="28"/>
          <w:szCs w:val="28"/>
          <w:lang w:eastAsia="ru-RU"/>
        </w:rPr>
        <w:t>необеспечении</w:t>
      </w:r>
      <w:proofErr w:type="spellEnd"/>
      <w:r w:rsidRPr="00163F30">
        <w:rPr>
          <w:rFonts w:ascii="Times New Roman" w:eastAsia="Times New Roman" w:hAnsi="Times New Roman" w:cs="Times New Roman"/>
          <w:color w:val="333333"/>
          <w:sz w:val="28"/>
          <w:szCs w:val="28"/>
          <w:lang w:eastAsia="ru-RU"/>
        </w:rPr>
        <w:t xml:space="preserve"> педагогическому работнику права на сокращенную продолжительность рабочего времени (пункт 1 части 5 статьи 47 Федерального закона от 29 декабря 2012 года N 273-ФЗ "Об образовании в Российской Федерации"); нарушении установленного Правительством Российской Федерации порядка направления работников в служебные командировки; нарушении правил ведения трудовых книжек, утвержденных уполномоченным Правительством Российской Федерации федеральным органом исполнительной власти.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При этом следует учитывать, что норма части 1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является общей по отношению к специальным нормам, изложенным в частях 3, 4 и 6 названной статьи.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8. Действия (бездействие) лица, ранее подвергнутого административному наказанию, подлежат квалификации по частям 2, 5, 7 статьи 5.27, части 5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в том случае, если им совершено аналогичное административное правонарушение, которым является невыполнение (ненадлежащее выполнение) одной и той же обязанности, установленной трудовым законодательством (включая законодательство об </w:t>
      </w:r>
      <w:r w:rsidRPr="00163F30">
        <w:rPr>
          <w:rFonts w:ascii="Times New Roman" w:eastAsia="Times New Roman" w:hAnsi="Times New Roman" w:cs="Times New Roman"/>
          <w:color w:val="333333"/>
          <w:sz w:val="28"/>
          <w:szCs w:val="28"/>
          <w:lang w:eastAsia="ru-RU"/>
        </w:rPr>
        <w:lastRenderedPageBreak/>
        <w:t xml:space="preserve">охране труда), иными нормативными правовыми актами, содержащими нормы трудового права, в срок, в течение которого лицо считается подвергнутым административному наказанию за совершение такого же административного правонарушения (например, отказ в выдаче документов, связанных с работой, или их копий одному, затем другому сотруднику (часть первая статьи 62 ТК РФ) (статья 4.6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С учетом этого судьям следует проверять, истек ли срок, в течение которого лицо считается подвергнутым административному наказанию, на дату совершения нового аналогичного административного правонарушения. Окончание течения данного срока на дату вынесения постановления по делу об административном правонарушении не влияет на квалификацию имевшего место невыполнения (ненадлежащего выполнения) обязанности.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В случае возбуждения дела об административном правонарушении в отношении, в частности, должностного лица необходимо учитывать, что возможность привлечения его к административной ответственности не ставится в зависимость от того, совершены аналогичные правонарушения по одному месту работы или в разных организациях. Так, руководитель, ранее привлеченный к административной ответственности, например, по части 1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за нарушения, допущенные в одной организации, а затем в течение установленного статьей 4.6 названного кодекса срока совершивший аналогичное нарушение, являясь должностным лицом другой организации, может быть привлечен к ответственности по части 2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9. По делам об административных правонарушениях, предусмотренных частью 3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необходимо установление факта допуска работника к выполнению им трудовой функции лицом, не имеющим на это полномочий, то есть действующим без ведома или поручения работодателя или уполномоченного на это его представителя (части третья и четвертая статьи 16, часть вторая статьи 67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К числу уполномоченных представителей работодателя следует относить лиц, наделенных полномочиями по найму работников в соответствии с законом, иными нормативными правовыми актами, учредительными документами юридического лица (организации) либо локальными нормативными актами или в силу заключенного с этим лицом трудового договора, а также иным способом, выбранным работодателем.</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Неотъемлемым элементом объективной стороны состава данного административного правонарушения является отказ работодателя (или его уполномоченного представителя) в признании отношений, возникших между ним и лицом, фактически допущенным к работе, трудовыми (</w:t>
      </w:r>
      <w:proofErr w:type="spellStart"/>
      <w:r w:rsidRPr="00163F30">
        <w:rPr>
          <w:rFonts w:ascii="Times New Roman" w:eastAsia="Times New Roman" w:hAnsi="Times New Roman" w:cs="Times New Roman"/>
          <w:color w:val="333333"/>
          <w:sz w:val="28"/>
          <w:szCs w:val="28"/>
          <w:lang w:eastAsia="ru-RU"/>
        </w:rPr>
        <w:t>незаключение</w:t>
      </w:r>
      <w:proofErr w:type="spellEnd"/>
      <w:r w:rsidRPr="00163F30">
        <w:rPr>
          <w:rFonts w:ascii="Times New Roman" w:eastAsia="Times New Roman" w:hAnsi="Times New Roman" w:cs="Times New Roman"/>
          <w:color w:val="333333"/>
          <w:sz w:val="28"/>
          <w:szCs w:val="28"/>
          <w:lang w:eastAsia="ru-RU"/>
        </w:rPr>
        <w:t xml:space="preserve"> с лицом, фактически допущенным к работе, трудового договора).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lastRenderedPageBreak/>
        <w:t xml:space="preserve">При этом судьям следует иметь в виду, что административное правонарушение, предусмотренное частью 3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не является длящимся, поскольку оно будет окончено с момента отказа работодателя признать в качестве трудовых отношения, возникшие между ним и работником, фактически допущенным к работе не уполномоченным на это лицом.</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10. Частью 4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закреплена ответственность за уклонение от оформления трудового договора; ненадлежащее оформление трудового договора; заключение в нарушение требований части второй статьи 15 ТК РФ гражданско-правового договора, фактически регулирующего трудовые отношения между работником и работодателем.</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Обязанность по надлежащему оформлению трудовых отношений с работником (заключение в письменной форме трудового договора) по смыслу части первой статьи 67 ТК РФ возлагается на работодателя. Если трудовой договор не был оформлен надлежащим образом, но при этом работник приступил к работе с ведома или по поручению работодателя или его уполномоченного представителя, то трудовой договор считается заключенным и работодатель или его уполномоченный представитель обязан не позднее трех рабочих дней со дня фактического допущения к работе оформить трудовой договор в письменной форме (часть третья статьи 16, часть вторая статьи 67 ТК РФ). Невыполнение данной обязанности в названный срок свидетельствует об уклонении работодателя от оформления трудового договора.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Под ненадлежащим оформлением трудового договора для целей применения части 4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следует понимать отсутствие в данном договоре тех сведений и (или) условий, которые предусмотрены частями первой и второй статьи 57 ТК РФ, а также включение в трудовой договор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(часть вторая статьи 9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При этом </w:t>
      </w:r>
      <w:proofErr w:type="spellStart"/>
      <w:r w:rsidRPr="00163F30">
        <w:rPr>
          <w:rFonts w:ascii="Times New Roman" w:eastAsia="Times New Roman" w:hAnsi="Times New Roman" w:cs="Times New Roman"/>
          <w:color w:val="333333"/>
          <w:sz w:val="28"/>
          <w:szCs w:val="28"/>
          <w:lang w:eastAsia="ru-RU"/>
        </w:rPr>
        <w:t>невключение</w:t>
      </w:r>
      <w:proofErr w:type="spellEnd"/>
      <w:r w:rsidRPr="00163F30">
        <w:rPr>
          <w:rFonts w:ascii="Times New Roman" w:eastAsia="Times New Roman" w:hAnsi="Times New Roman" w:cs="Times New Roman"/>
          <w:color w:val="333333"/>
          <w:sz w:val="28"/>
          <w:szCs w:val="28"/>
          <w:lang w:eastAsia="ru-RU"/>
        </w:rPr>
        <w:t xml:space="preserve"> в трудовой договор условий реализации трудовых прав и обязанностей, предусмотренных коллективным договором, соглашениями, локальными нормативными актами (например, конкретной даты выплаты заработной платы), не образует объективную сторону состава указанного административного правонарушения, поскольку у работодателя отсутствует предусмотренная законом обязанность закреплять соответствующие положения в трудовом договоре.</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11. Доказательствами по делам об административных правонарушениях, предусмотренных частью 4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являются любые фактические данные, на основании которых устанавливается факт наличия </w:t>
      </w:r>
      <w:r w:rsidRPr="00163F30">
        <w:rPr>
          <w:rFonts w:ascii="Times New Roman" w:eastAsia="Times New Roman" w:hAnsi="Times New Roman" w:cs="Times New Roman"/>
          <w:color w:val="333333"/>
          <w:sz w:val="28"/>
          <w:szCs w:val="28"/>
          <w:lang w:eastAsia="ru-RU"/>
        </w:rPr>
        <w:lastRenderedPageBreak/>
        <w:t xml:space="preserve">между работником и работодателем трудовых отношений, а именно личного выполнения работником за плату трудовой функции, в том числе дистанционно, в интересах, под управлением и контролем работодателя, а также иные обстоятельства, имеющие значение для правильного разрешения дела, включая постоянный характер сложившихся отношений (статьи 15, 56 ТК РФ, статья 26.2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К таким доказательствам помимо протокола об административном правонарушении, в частности, могут быть отнесены: объяснения лица, в отношении которого ведется производство по делу, показания лица, фактически допущенного к работе, и свидетелей, письменные доказательства (в частности, оформленный лицу, фактически допущенному к работе, пропуск на территорию работодателя; журнал регистрации прихода-ухода работников на работу; графики работы (сменности); журнал вводного инструктажа об ознакомлении работника с техникой безопасности; ведомости выдачи денежных средств; заполняемые или подписываемые лицом, фактически допущенным к работе, товарные накладные, счета-фактуры, путевые листы, заявки на перевозку груза, акты о выполненных работах; распоряжение (приказ) работодателя о списке сотрудников, выполняющих трудовую функцию дистанционно; переписка сторон, в том числе по электронной почте; электронные документы, систематический обмен которыми осуществляется между работником, работодателем, другими сотрудниками, в том числе при дистанционной работе посредством электронной почты, зарегистрированной на домене работодателя для работника, либо удаленного доступа к рабочему столу служебного компьютера, документы, подтверждающие обмен задачами и результатами их контроля в сервисных программах, используемых работодателем, отчеты в конце установленного рабочего дня и т.п.); вещественные доказательства (например, предоставленные при дистанционной работе работодателем работнику оборудование, программно-технические средства, средства защиты информации, которые находятся вне стационарного рабочего места, территории или объекта, прямо или косвенно находящихся под контролем работодателя), материалы фото- и киносъемки, </w:t>
      </w:r>
      <w:proofErr w:type="spellStart"/>
      <w:r w:rsidRPr="00163F30">
        <w:rPr>
          <w:rFonts w:ascii="Times New Roman" w:eastAsia="Times New Roman" w:hAnsi="Times New Roman" w:cs="Times New Roman"/>
          <w:color w:val="333333"/>
          <w:sz w:val="28"/>
          <w:szCs w:val="28"/>
          <w:lang w:eastAsia="ru-RU"/>
        </w:rPr>
        <w:t>звуко</w:t>
      </w:r>
      <w:proofErr w:type="spellEnd"/>
      <w:r w:rsidRPr="00163F30">
        <w:rPr>
          <w:rFonts w:ascii="Times New Roman" w:eastAsia="Times New Roman" w:hAnsi="Times New Roman" w:cs="Times New Roman"/>
          <w:color w:val="333333"/>
          <w:sz w:val="28"/>
          <w:szCs w:val="28"/>
          <w:lang w:eastAsia="ru-RU"/>
        </w:rPr>
        <w:t>- и видеозаписи.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12. Для привлечения к административной ответственности по части 4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в связи с заключением гражданско-правового договора, фактически регулирующего трудовые отношения между работником и работодателем, судье в ходе рассмотрения дела об административном правонарушении необходимо установить трудовой характер отношений, возникших между работником и работодателем, а также их оформление гражданско-правовым договором, заключенным в том числе путем обмена письмами, телеграммами, электронными документами либо иными данными (статья 19</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ТК РФ, пункт 1 статьи 160, статья 434 Гражданского кодекса Российской Федерации).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lastRenderedPageBreak/>
        <w:t>В том случае, если до рассмотрения дела об административном правонарушении наличие трудовых отношений между работником и работодателем, заключившими гражданско-правовой договор, было установлено вступившим в законную силу решением суда, принятым в порядке гражданского судопроизводства, либо в случае признания законным предписания государственного инспектора труда об устранении нарушения части второй статьи 15 ТК РФ в рамках административного судопроизводства судья при привлечении виновного лица к административной ответственности обязан учесть данный факт.</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При выявлении в ходе проведения контрольного (надзорного) мероприятия признаков, свидетельствующих о том, что отношения, оформленные в виде гражданско-правового договора и впоследствии прекращенные, имеют признаки трудовых отношений, должностное лицо вправе возбудить производство по делу об административном правонарушении, предусмотренном частью 4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и передать такое дело для рассмотрения по существу судье, уполномоченному на его разрешение в порядке, предусмотренном Кодексом Российской Федерации об административных правонарушениях (часть 2 статьи 23.1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13. Необходимо иметь в виду, что административные правонарушения, предусмотренные частью 4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не являются длящимися.</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Административное правонарушение, заключающееся в уклонении от оформления трудового договора в случае, если работник приступил к работе с ведома или по поручению работодателя или его уполномоченного представителя, будет окончено по истечении предусмотренных частью второй статьи 67 ТК РФ трех рабочих дней со дня фактического допущения работника к работе.</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Датой совершения административного правонарушения, выразившегося в ненадлежащем оформлении трудового договора или заключении гражданско-правового договора, фактически регулирующего трудовые отношения между работником и работодателем, является дата заключения соответствующего договора.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14. Трудовым кодексом Российской Федерации установлены сроки выплаты заработной платы работнику (статья 136). Нарушение названных сроков выплаты заработной платы в полном объеме, в том числе в </w:t>
      </w:r>
      <w:proofErr w:type="spellStart"/>
      <w:r w:rsidRPr="00163F30">
        <w:rPr>
          <w:rFonts w:ascii="Times New Roman" w:eastAsia="Times New Roman" w:hAnsi="Times New Roman" w:cs="Times New Roman"/>
          <w:color w:val="333333"/>
          <w:sz w:val="28"/>
          <w:szCs w:val="28"/>
          <w:lang w:eastAsia="ru-RU"/>
        </w:rPr>
        <w:t>неденежной</w:t>
      </w:r>
      <w:proofErr w:type="spellEnd"/>
      <w:r w:rsidRPr="00163F30">
        <w:rPr>
          <w:rFonts w:ascii="Times New Roman" w:eastAsia="Times New Roman" w:hAnsi="Times New Roman" w:cs="Times New Roman"/>
          <w:color w:val="333333"/>
          <w:sz w:val="28"/>
          <w:szCs w:val="28"/>
          <w:lang w:eastAsia="ru-RU"/>
        </w:rPr>
        <w:t xml:space="preserve"> форме, влечет привлечение виновного лица к административной ответственности по части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Данная норма также предусматривает административную ответственность за нарушение сроков выплат иных сумм, причитающихся </w:t>
      </w:r>
      <w:r w:rsidRPr="00163F30">
        <w:rPr>
          <w:rFonts w:ascii="Times New Roman" w:eastAsia="Times New Roman" w:hAnsi="Times New Roman" w:cs="Times New Roman"/>
          <w:color w:val="333333"/>
          <w:sz w:val="28"/>
          <w:szCs w:val="28"/>
          <w:lang w:eastAsia="ru-RU"/>
        </w:rPr>
        <w:lastRenderedPageBreak/>
        <w:t>работнику, в том числе компенсации за задержку указанных выплат (пункт 2 части первой статьи 136, часть первая статьи 142, статья 236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При этом необходимо иметь в виду, что административная ответственность по части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наступает в том числе в случаях невыплаты заработной платы и иных выплат работникам, с которыми трудовой договор не заключался либо не был надлежащим образом оформлен, но они приступили к выполнению трудовой функции с ведома и по поручению работодателя либо его уполномоченного представителя (часть третья статьи 16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Кроме того, при фактическом допущении физического лица к работе работником, не уполномоченным на это работодателем, когда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произвести оплату такому физическому лицу за фактически отработанное им время (выполненную работу) (часть первая статьи 67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xml:space="preserve"> ТК РФ). Невыполнение данной обязанности также может быть квалифицировано по части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При прекращении трудового договора с работником, выплата заработной платы и иных сумм которому в соответствии с положениями трудового или коллективного договора производилась в безналичной денежной форме путем перечисления денежных средств на его текущий счет в кредитной организации, окончательный расчет и перечисление всех сумм, причитающихся работнику, должны быть произведены работодателем в день увольнения.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(часть третья статьи 136, статья 140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Для решения вопроса о привлечении к административной ответственности работодатель считается исполнившим данную обязанность в день передачи им в банк платежного поручения о перечислении работнику причитающихся сумм при условии наличия на расчетном счете работодателя денежных средств в необходимом размере. При этом дата фактического зачисления денежных средств на текущий счет работника значения для квалификации совершенных действий (бездействия) по части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не имеет.</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15. При решении вопроса о привлечении к административной ответственности по части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следует также учитывать, что квалификации в качестве административного правонарушения не </w:t>
      </w:r>
      <w:r w:rsidRPr="00163F30">
        <w:rPr>
          <w:rFonts w:ascii="Times New Roman" w:eastAsia="Times New Roman" w:hAnsi="Times New Roman" w:cs="Times New Roman"/>
          <w:color w:val="333333"/>
          <w:sz w:val="28"/>
          <w:szCs w:val="28"/>
          <w:lang w:eastAsia="ru-RU"/>
        </w:rPr>
        <w:lastRenderedPageBreak/>
        <w:t>подлежат частичная невыплата (в размере менее половины подлежащей выплате суммы) свыше трех месяцев либо полная невыплата свыше двух месяцев заработной платы, иных установленных законом выплат работникам, совершенные из корыстной или иной личной заинтересованности руководителем организации, работодателем (физическим лицом, руководителем филиала, представительства или иного обособленного структурного подразделения организации), поскольку такие действия (бездействие) содержат признаки уголовно наказуемого деяния, предусмотренного статьей 145</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Уголовного кодекса Российской Федерации.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В случае установления указанных обстоятельств при рассмотрении дела об административном правонарушении данное дело подлежит прекращению с передачей материалов в орган предварительного расследования для решения вопроса о возбуждении уголовного дела (пункт 3 части 1</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xml:space="preserve"> статьи 29.9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подпункт "а" пункта 1 части 2 статьи 151 Уголовно-процессуального кодекса Российской Федерации).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16. 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 (часть вторая статьи 9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С учетом этого подлежащее квалификации по части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воспрепятствование осуществлению работником права на замену кредитной организации, в которую должна быть переведена заработная плата (часть третья статьи 136 ТК РФ), имеет место в том числе в случае, когда работодатель отказывает работнику в замене кредитной организации на основании положений коллективного договора, предусматривающих выплату заработной платы исключительно через конкретную кредитную организацию.</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17. Административное правонарушение, выражающееся в несвоевременной выплате работнику заработной платы, других выплат, осуществляемых в рамках трудовых отношений, не является длящимся; срок давности привлечения к административной ответственности за данное правонарушение начинает исчисляться со дня, следующего за днем, когда должна быть исполнена соответствующая обязанность (часть 1 статьи 4.5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Необходимо учитывать, что нарушение каждого установленного срока выплаты заработной платы, других выплат, допущенное в отношении нескольких работников, которым соответствующие выплаты не были произведены (произведены не в полном объеме) в одну и ту же дату, должно </w:t>
      </w:r>
      <w:r w:rsidRPr="00163F30">
        <w:rPr>
          <w:rFonts w:ascii="Times New Roman" w:eastAsia="Times New Roman" w:hAnsi="Times New Roman" w:cs="Times New Roman"/>
          <w:color w:val="333333"/>
          <w:sz w:val="28"/>
          <w:szCs w:val="28"/>
          <w:lang w:eastAsia="ru-RU"/>
        </w:rPr>
        <w:lastRenderedPageBreak/>
        <w:t xml:space="preserve">квалифицироваться как одно административное правонарушение, предусмотренное частью 6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о чем составляется один протокол об административном правонарушении (выносится одно постановление о возбуждении дела об административном правонарушении), если не истекли сроки давности привлечения к административной ответственности.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18. Государственными нормативными требованиями охраны труда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влечет административную ответственность по соответствующей части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Например, административная ответственность по части 1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наступает за </w:t>
      </w:r>
      <w:proofErr w:type="spellStart"/>
      <w:r w:rsidRPr="00163F30">
        <w:rPr>
          <w:rFonts w:ascii="Times New Roman" w:eastAsia="Times New Roman" w:hAnsi="Times New Roman" w:cs="Times New Roman"/>
          <w:color w:val="333333"/>
          <w:sz w:val="28"/>
          <w:szCs w:val="28"/>
          <w:lang w:eastAsia="ru-RU"/>
        </w:rPr>
        <w:t>необеспечение</w:t>
      </w:r>
      <w:proofErr w:type="spellEnd"/>
      <w:r w:rsidRPr="00163F30">
        <w:rPr>
          <w:rFonts w:ascii="Times New Roman" w:eastAsia="Times New Roman" w:hAnsi="Times New Roman" w:cs="Times New Roman"/>
          <w:color w:val="333333"/>
          <w:sz w:val="28"/>
          <w:szCs w:val="28"/>
          <w:lang w:eastAsia="ru-RU"/>
        </w:rPr>
        <w:t xml:space="preserve"> работников средствами индивидуальной защиты 1 класса классификации по степени риска причинения вреда пользователю.</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19. По части 2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подлежат квалификации </w:t>
      </w:r>
      <w:proofErr w:type="spellStart"/>
      <w:r w:rsidRPr="00163F30">
        <w:rPr>
          <w:rFonts w:ascii="Times New Roman" w:eastAsia="Times New Roman" w:hAnsi="Times New Roman" w:cs="Times New Roman"/>
          <w:color w:val="333333"/>
          <w:sz w:val="28"/>
          <w:szCs w:val="28"/>
          <w:lang w:eastAsia="ru-RU"/>
        </w:rPr>
        <w:t>непроведение</w:t>
      </w:r>
      <w:proofErr w:type="spellEnd"/>
      <w:r w:rsidRPr="00163F30">
        <w:rPr>
          <w:rFonts w:ascii="Times New Roman" w:eastAsia="Times New Roman" w:hAnsi="Times New Roman" w:cs="Times New Roman"/>
          <w:color w:val="333333"/>
          <w:sz w:val="28"/>
          <w:szCs w:val="28"/>
          <w:lang w:eastAsia="ru-RU"/>
        </w:rPr>
        <w:t xml:space="preserve"> или нарушение установленного порядка проведения работодателем на рабочих местах специальной оценки условий труда, в том числе внеплановой специальной оценки условий труда (пункт 1 части 2 статьи 4, статья 17 Федерального закона от 28 декабря 2013 года N 426-ФЗ "О специальной оценке условий труда" (далее - Федеральный закон "О специальной оценке условий труда").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Нарушением установленного порядка проведения специальной оценки условий труда следует признавать невыполнение работодателем обязанностей, а также установленных в соответствии с названным федеральным законом обязательных требований к последовательно реализуемым в рамках проведения специальной оценки условий труда процедурам (в частности, пункты 2-5, 7 части 2 статьи 4, части 1-4 статьи 8, статьи 9, 11, части 10, 11 статьи 12, статья 15 Федерального закона "О специальной оценке условий труда").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При этом невыполнение работодателем иных обязанностей в связи с проведением специальной оценки условий труда, предусмотренных, например, пунктом 6 части 2 статьи 4 Федерального закона "О специальной оценке условий труда" (</w:t>
      </w:r>
      <w:proofErr w:type="spellStart"/>
      <w:r w:rsidRPr="00163F30">
        <w:rPr>
          <w:rFonts w:ascii="Times New Roman" w:eastAsia="Times New Roman" w:hAnsi="Times New Roman" w:cs="Times New Roman"/>
          <w:color w:val="333333"/>
          <w:sz w:val="28"/>
          <w:szCs w:val="28"/>
          <w:lang w:eastAsia="ru-RU"/>
        </w:rPr>
        <w:t>нереализация</w:t>
      </w:r>
      <w:proofErr w:type="spellEnd"/>
      <w:r w:rsidRPr="00163F30">
        <w:rPr>
          <w:rFonts w:ascii="Times New Roman" w:eastAsia="Times New Roman" w:hAnsi="Times New Roman" w:cs="Times New Roman"/>
          <w:color w:val="333333"/>
          <w:sz w:val="28"/>
          <w:szCs w:val="28"/>
          <w:lang w:eastAsia="ru-RU"/>
        </w:rPr>
        <w:t xml:space="preserve"> мероприятий, направленных на улучшение условий труда работников, с учетом результатов проведения специальной оценки условий труда), образует объективную сторону состава </w:t>
      </w:r>
      <w:r w:rsidRPr="00163F30">
        <w:rPr>
          <w:rFonts w:ascii="Times New Roman" w:eastAsia="Times New Roman" w:hAnsi="Times New Roman" w:cs="Times New Roman"/>
          <w:color w:val="333333"/>
          <w:sz w:val="28"/>
          <w:szCs w:val="28"/>
          <w:lang w:eastAsia="ru-RU"/>
        </w:rPr>
        <w:lastRenderedPageBreak/>
        <w:t>административного правонарушения, предусмотренного частью 1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Обратить внимание судей на то, что нарушение установленного порядка проведения специальной оценки условий труда, допущенное организацией, проводившей специальную оценку условий труда, подлежит квалификации по статье 14.54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20. Судьям необходимо учитывать, что административное правонарушение, предусмотренное частью 2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не является длящимся, поскольку выражается в невыполнении обязанностей к установленному сроку (например, </w:t>
      </w:r>
      <w:proofErr w:type="spellStart"/>
      <w:r w:rsidRPr="00163F30">
        <w:rPr>
          <w:rFonts w:ascii="Times New Roman" w:eastAsia="Times New Roman" w:hAnsi="Times New Roman" w:cs="Times New Roman"/>
          <w:color w:val="333333"/>
          <w:sz w:val="28"/>
          <w:szCs w:val="28"/>
          <w:lang w:eastAsia="ru-RU"/>
        </w:rPr>
        <w:t>непроведение</w:t>
      </w:r>
      <w:proofErr w:type="spellEnd"/>
      <w:r w:rsidRPr="00163F30">
        <w:rPr>
          <w:rFonts w:ascii="Times New Roman" w:eastAsia="Times New Roman" w:hAnsi="Times New Roman" w:cs="Times New Roman"/>
          <w:color w:val="333333"/>
          <w:sz w:val="28"/>
          <w:szCs w:val="28"/>
          <w:lang w:eastAsia="ru-RU"/>
        </w:rPr>
        <w:t xml:space="preserve"> специальной оценки условий труда, непредставление декларации соответствия условий труда государственным нормативным требованиям охраны труда (часть 4 статьи 8, часть 2 статьи 11, часть 2 статьи 17 Федерального закона "О специальной оценке условий труда").</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21. Допуск к исполнению трудовых обязанностей работника, не прошедшего в установленном порядке обучение и инструктаж по охране труда, стажировку и проверку знаний требований охраны труда (далее также - прохождение необходимого обучения и проверка знаний), а также обязательные предварительные (при поступлении на работу) и периодические (в течение трудовой деятельности) медицинские осмотры, обязательные медицинские осмотры в начале рабочего дня (смены), обязательные психиатрические освидетельствования (далее также - обязательные осмотры) или имеющего медицинские противопоказания, влечет административную ответственность по части 3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Так, состав административного правонарушения, предусмотренного частью 3 указанной статьи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образует, например, допуск любого работника организации пищевой промышленности, общественного питания и торговли, водопроводных сооружений, медицинской организации или детского учреждения, независимо от его трудовых функций, к исполнению им трудовых обязанностей без прохождения периодических медицинских осмотров (часть вторая статьи 213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22. Допуск работника к исполнению им трудовых обязанностей без прохождения необходимого обучения, проверки знаний, а также обязательных осмотров или при наличии медицинских противопоказаний является длящимся административным правонарушением, поскольку оно выражается в длительном непрекращающемся невыполнении работодателем обязанности отстранить от работы (не допускать к работе) работника, не прошедшего в установленном порядке обучение и проверку знаний и навыков в области охраны труда, обязательный медицинский осмотр, обязательное психиатрическое освидетельствование в случаях, предусмотренных Трудовым кодексом Российской Федерации, другими </w:t>
      </w:r>
      <w:r w:rsidRPr="00163F30">
        <w:rPr>
          <w:rFonts w:ascii="Times New Roman" w:eastAsia="Times New Roman" w:hAnsi="Times New Roman" w:cs="Times New Roman"/>
          <w:color w:val="333333"/>
          <w:sz w:val="28"/>
          <w:szCs w:val="28"/>
          <w:lang w:eastAsia="ru-RU"/>
        </w:rPr>
        <w:lastRenderedPageBreak/>
        <w:t>федеральными законами и иными нормативными правовыми актами Российской Федерации, а также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 (часть 3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абзацы третий - пятый части первой статьи 76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Следует учитывать, что фактическое допущение каждого работника к исполнению им трудовых обязанностей без прохождения необходимого обучения, проверки знаний или обязательных осмотров подлежит квалификации в качестве отдельного административного правонарушения с назначением административного наказания, предусмотренного частью 3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23. Объективная сторона состава административного правонарушения, предусмотренного частью 4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выражается в бездействии, в частности в </w:t>
      </w:r>
      <w:proofErr w:type="spellStart"/>
      <w:r w:rsidRPr="00163F30">
        <w:rPr>
          <w:rFonts w:ascii="Times New Roman" w:eastAsia="Times New Roman" w:hAnsi="Times New Roman" w:cs="Times New Roman"/>
          <w:color w:val="333333"/>
          <w:sz w:val="28"/>
          <w:szCs w:val="28"/>
          <w:lang w:eastAsia="ru-RU"/>
        </w:rPr>
        <w:t>необеспечении</w:t>
      </w:r>
      <w:proofErr w:type="spellEnd"/>
      <w:r w:rsidRPr="00163F30">
        <w:rPr>
          <w:rFonts w:ascii="Times New Roman" w:eastAsia="Times New Roman" w:hAnsi="Times New Roman" w:cs="Times New Roman"/>
          <w:color w:val="333333"/>
          <w:sz w:val="28"/>
          <w:szCs w:val="28"/>
          <w:lang w:eastAsia="ru-RU"/>
        </w:rPr>
        <w:t xml:space="preserve"> работников (независимо от их количества) согласно установленным нормам средствами индивидуальной защиты, отнесенными соответствующим техническим регламентом о безопасности средств индивидуальной защиты к 2 классу в зависимости от степени риска причинения вреда работнику, а также невыполнении обязанности по хранению таких средств, их стирке, химической чистке, сушке, ремонту и своевременной замене (примечание к статье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часть третья статьи 221 ТК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В связи с тем, что часть 4 статьи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устанавливает административную ответственность за </w:t>
      </w:r>
      <w:proofErr w:type="spellStart"/>
      <w:r w:rsidRPr="00163F30">
        <w:rPr>
          <w:rFonts w:ascii="Times New Roman" w:eastAsia="Times New Roman" w:hAnsi="Times New Roman" w:cs="Times New Roman"/>
          <w:color w:val="333333"/>
          <w:sz w:val="28"/>
          <w:szCs w:val="28"/>
          <w:lang w:eastAsia="ru-RU"/>
        </w:rPr>
        <w:t>необеспечение</w:t>
      </w:r>
      <w:proofErr w:type="spellEnd"/>
      <w:r w:rsidRPr="00163F30">
        <w:rPr>
          <w:rFonts w:ascii="Times New Roman" w:eastAsia="Times New Roman" w:hAnsi="Times New Roman" w:cs="Times New Roman"/>
          <w:color w:val="333333"/>
          <w:sz w:val="28"/>
          <w:szCs w:val="28"/>
          <w:lang w:eastAsia="ru-RU"/>
        </w:rPr>
        <w:t xml:space="preserve"> работников средствами индивидуальной защиты, в случае выявления в рамках проведения проверки названного нарушения, допущенного в отношении нескольких работников, составляется один протокол об административном правонарушении.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Административное правонарушение, предусмотренное названной нормой, является длящимся.</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24. Ввиду различной правовой природы таких способов защиты прав граждан, как индивидуальный трудовой спор и привлечение работодателя к административной ответственности за нарушение трудового законодательства (включая законодательство об охране труда) и иных нормативных правовых актов, содержащих нормы трудового права, наличие рассмотренного или подлежащего рассмотрению индивидуального трудового спора между работником и работодателем не исключает возможности привлечения последнего к административной ответственности.</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lastRenderedPageBreak/>
        <w:t>При этом решение органа, уполномоченного на рассмотрение индивидуальных трудовых споров, подлежит учету судьей при рассмотрении дела об административном правонарушении в качестве одного из доказательств.</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25. Если в ходе подготовки к рассмотрению дела об административном правонарушении, предусмотренном статьями 5.27,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судьей будет установлено, что в материалах одного дела, переданного ему на рассмотрение, имеется несколько протоколов о различных административных правонарушениях, совершенных одним и тем же лицом, каждый протокол следует принимать для рассмотрения в отдельном производстве с вынесением постановления по каждому совершенному правонарушению (часть 1 статьи 4.4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Если из протоколов об административных правонарушениях усматривается, что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или более статьями (частями статей)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и рассмотрение дел о которых подведомственно одному и тому же судье (например, невыполнение работодателем обязанностей выдать находящемуся на работе работнику в день увольнения трудовую книжку и произвести с ним расчет при условии, что данный работодатель ранее в пределах срока, установленного статьей 4.6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подвергался административной ответственности по частям 1 и 6 статьи 5.27 названного кодекса за совершение аналогичных правонарушений (части 2 и 7 статьи 5.27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то следует вынести определение об объединении таких материалов и рассмотреть их в одном производстве с вынесением одного постановления и назначением административного наказания по правилам части 2 статьи 4.4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Вместе с тем в том случае, если совершенные административные правонарушения предусмотрены одной частью статьи 5.27 или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при назначении административного наказания за их совершение положения части 2 статьи 4.4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не подлежат применению.</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26. В случае, когда административные правонарушения, предусмотренные статьями 5.27, 5.27</w:t>
      </w:r>
      <w:r w:rsidRPr="00163F30">
        <w:rPr>
          <w:rFonts w:ascii="Times New Roman" w:eastAsia="Times New Roman" w:hAnsi="Times New Roman" w:cs="Times New Roman"/>
          <w:color w:val="333333"/>
          <w:sz w:val="28"/>
          <w:szCs w:val="28"/>
          <w:vertAlign w:val="superscript"/>
          <w:lang w:eastAsia="ru-RU"/>
        </w:rPr>
        <w:t>1</w:t>
      </w:r>
      <w:r w:rsidRPr="00163F30">
        <w:rPr>
          <w:rFonts w:ascii="Times New Roman" w:eastAsia="Times New Roman" w:hAnsi="Times New Roman" w:cs="Times New Roman"/>
          <w:color w:val="333333"/>
          <w:sz w:val="28"/>
          <w:szCs w:val="28"/>
          <w:lang w:eastAsia="ru-RU"/>
        </w:rPr>
        <w:t>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 были выявлены в ходе проведения контрольного (надзорного) мероприятия соблюдения требований нормативных правовых актов, содержащих нормы трудового права, основанием для проведения которого явилась жалоба (обращение) работника, указанное лицо привлекается к участию в производстве по делу в качестве потерпевшего, если ему указанным правонарушением причинен физический, имущественный или моральный вред (часть 1 статьи 25.2 </w:t>
      </w:r>
      <w:proofErr w:type="spellStart"/>
      <w:r w:rsidRPr="00163F30">
        <w:rPr>
          <w:rFonts w:ascii="Times New Roman" w:eastAsia="Times New Roman" w:hAnsi="Times New Roman" w:cs="Times New Roman"/>
          <w:color w:val="333333"/>
          <w:sz w:val="28"/>
          <w:szCs w:val="28"/>
          <w:lang w:eastAsia="ru-RU"/>
        </w:rPr>
        <w:t>КоАП</w:t>
      </w:r>
      <w:proofErr w:type="spellEnd"/>
      <w:r w:rsidRPr="00163F30">
        <w:rPr>
          <w:rFonts w:ascii="Times New Roman" w:eastAsia="Times New Roman" w:hAnsi="Times New Roman" w:cs="Times New Roman"/>
          <w:color w:val="333333"/>
          <w:sz w:val="28"/>
          <w:szCs w:val="28"/>
          <w:lang w:eastAsia="ru-RU"/>
        </w:rPr>
        <w:t xml:space="preserve"> РФ).</w:t>
      </w:r>
    </w:p>
    <w:p w:rsidR="00163F30" w:rsidRPr="00163F30" w:rsidRDefault="00163F30" w:rsidP="00163F30">
      <w:pPr>
        <w:shd w:val="clear" w:color="auto" w:fill="FFFFFF"/>
        <w:spacing w:after="255" w:line="270" w:lineRule="atLeast"/>
        <w:ind w:firstLine="567"/>
        <w:jc w:val="both"/>
        <w:rPr>
          <w:rFonts w:ascii="Times New Roman" w:eastAsia="Times New Roman" w:hAnsi="Times New Roman" w:cs="Times New Roman"/>
          <w:color w:val="333333"/>
          <w:sz w:val="28"/>
          <w:szCs w:val="28"/>
          <w:lang w:eastAsia="ru-RU"/>
        </w:rPr>
      </w:pPr>
      <w:r w:rsidRPr="00163F30">
        <w:rPr>
          <w:rFonts w:ascii="Times New Roman" w:eastAsia="Times New Roman" w:hAnsi="Times New Roman" w:cs="Times New Roman"/>
          <w:color w:val="333333"/>
          <w:sz w:val="28"/>
          <w:szCs w:val="28"/>
          <w:lang w:eastAsia="ru-RU"/>
        </w:rPr>
        <w:t xml:space="preserve">27. В связи с принятием настоящего постановления признать не подлежащим применению пункт 17 постановления Пленума Верховного </w:t>
      </w:r>
      <w:r w:rsidRPr="00163F30">
        <w:rPr>
          <w:rFonts w:ascii="Times New Roman" w:eastAsia="Times New Roman" w:hAnsi="Times New Roman" w:cs="Times New Roman"/>
          <w:color w:val="333333"/>
          <w:sz w:val="28"/>
          <w:szCs w:val="28"/>
          <w:lang w:eastAsia="ru-RU"/>
        </w:rPr>
        <w:lastRenderedPageBreak/>
        <w:t>Суда Российской Федерации от 24 марта 2005 года N 5 "О некоторых вопросах, возникающих у судов при применении Кодекса Российской Федерации об административных правонарушениях" (с изменениями, внесенными постановлениями Пленума Верховного Суда Российской Федерации от 25 мая 2006 года N 12, от 11 ноября 2008 года N 23, от 10 июня 2010 года N 13, от 9 февраля 2012 года N 3 и от 19 декабря 2013 года N 40).</w:t>
      </w:r>
    </w:p>
    <w:tbl>
      <w:tblPr>
        <w:tblW w:w="0" w:type="auto"/>
        <w:tblCellMar>
          <w:top w:w="15" w:type="dxa"/>
          <w:left w:w="15" w:type="dxa"/>
          <w:bottom w:w="15" w:type="dxa"/>
          <w:right w:w="15" w:type="dxa"/>
        </w:tblCellMar>
        <w:tblLook w:val="04A0"/>
      </w:tblPr>
      <w:tblGrid>
        <w:gridCol w:w="3810"/>
        <w:gridCol w:w="3810"/>
      </w:tblGrid>
      <w:tr w:rsidR="00163F30" w:rsidRPr="00163F30" w:rsidTr="00163F30">
        <w:tc>
          <w:tcPr>
            <w:tcW w:w="2500" w:type="pct"/>
            <w:hideMark/>
          </w:tcPr>
          <w:p w:rsidR="00163F30" w:rsidRPr="00163F30" w:rsidRDefault="00163F30" w:rsidP="00163F30">
            <w:pPr>
              <w:spacing w:after="0" w:line="240" w:lineRule="auto"/>
              <w:ind w:firstLine="567"/>
              <w:jc w:val="both"/>
              <w:rPr>
                <w:rFonts w:ascii="Times New Roman" w:eastAsia="Times New Roman" w:hAnsi="Times New Roman" w:cs="Times New Roman"/>
                <w:sz w:val="28"/>
                <w:szCs w:val="28"/>
                <w:lang w:eastAsia="ru-RU"/>
              </w:rPr>
            </w:pPr>
            <w:r w:rsidRPr="00163F30">
              <w:rPr>
                <w:rFonts w:ascii="Times New Roman" w:eastAsia="Times New Roman" w:hAnsi="Times New Roman" w:cs="Times New Roman"/>
                <w:sz w:val="28"/>
                <w:szCs w:val="28"/>
                <w:lang w:eastAsia="ru-RU"/>
              </w:rPr>
              <w:t>Председатель Верховного Суда</w:t>
            </w:r>
            <w:r w:rsidRPr="00163F30">
              <w:rPr>
                <w:rFonts w:ascii="Times New Roman" w:eastAsia="Times New Roman" w:hAnsi="Times New Roman" w:cs="Times New Roman"/>
                <w:sz w:val="28"/>
                <w:szCs w:val="28"/>
                <w:lang w:eastAsia="ru-RU"/>
              </w:rPr>
              <w:br/>
              <w:t>Российской Федерации</w:t>
            </w:r>
          </w:p>
        </w:tc>
        <w:tc>
          <w:tcPr>
            <w:tcW w:w="2500" w:type="pct"/>
            <w:hideMark/>
          </w:tcPr>
          <w:p w:rsidR="00163F30" w:rsidRPr="00163F30" w:rsidRDefault="00163F30" w:rsidP="00163F30">
            <w:pPr>
              <w:spacing w:after="0" w:line="240" w:lineRule="auto"/>
              <w:ind w:firstLine="567"/>
              <w:jc w:val="both"/>
              <w:rPr>
                <w:rFonts w:ascii="Times New Roman" w:eastAsia="Times New Roman" w:hAnsi="Times New Roman" w:cs="Times New Roman"/>
                <w:sz w:val="28"/>
                <w:szCs w:val="28"/>
                <w:lang w:eastAsia="ru-RU"/>
              </w:rPr>
            </w:pPr>
            <w:r w:rsidRPr="00163F30">
              <w:rPr>
                <w:rFonts w:ascii="Times New Roman" w:eastAsia="Times New Roman" w:hAnsi="Times New Roman" w:cs="Times New Roman"/>
                <w:sz w:val="28"/>
                <w:szCs w:val="28"/>
                <w:lang w:eastAsia="ru-RU"/>
              </w:rPr>
              <w:t>В.М. Лебедев</w:t>
            </w:r>
          </w:p>
        </w:tc>
      </w:tr>
    </w:tbl>
    <w:p w:rsidR="00163F30" w:rsidRPr="00163F30" w:rsidRDefault="00163F30" w:rsidP="00163F30">
      <w:pPr>
        <w:shd w:val="clear" w:color="auto" w:fill="FFFFFF"/>
        <w:spacing w:after="0" w:line="240" w:lineRule="auto"/>
        <w:ind w:firstLine="567"/>
        <w:jc w:val="both"/>
        <w:rPr>
          <w:rFonts w:ascii="Times New Roman" w:eastAsia="Times New Roman" w:hAnsi="Times New Roman" w:cs="Times New Roman"/>
          <w:vanish/>
          <w:color w:val="333333"/>
          <w:sz w:val="28"/>
          <w:szCs w:val="28"/>
          <w:lang w:eastAsia="ru-RU"/>
        </w:rPr>
      </w:pPr>
    </w:p>
    <w:tbl>
      <w:tblPr>
        <w:tblW w:w="0" w:type="auto"/>
        <w:tblCellMar>
          <w:top w:w="15" w:type="dxa"/>
          <w:left w:w="15" w:type="dxa"/>
          <w:bottom w:w="15" w:type="dxa"/>
          <w:right w:w="15" w:type="dxa"/>
        </w:tblCellMar>
        <w:tblLook w:val="04A0"/>
      </w:tblPr>
      <w:tblGrid>
        <w:gridCol w:w="2835"/>
        <w:gridCol w:w="2835"/>
      </w:tblGrid>
      <w:tr w:rsidR="00163F30" w:rsidRPr="00163F30" w:rsidTr="00163F30">
        <w:tc>
          <w:tcPr>
            <w:tcW w:w="2500" w:type="pct"/>
            <w:hideMark/>
          </w:tcPr>
          <w:p w:rsidR="00163F30" w:rsidRPr="00163F30" w:rsidRDefault="00163F30" w:rsidP="00163F30">
            <w:pPr>
              <w:spacing w:after="0" w:line="240" w:lineRule="auto"/>
              <w:ind w:firstLine="567"/>
              <w:jc w:val="both"/>
              <w:rPr>
                <w:rFonts w:ascii="Times New Roman" w:eastAsia="Times New Roman" w:hAnsi="Times New Roman" w:cs="Times New Roman"/>
                <w:sz w:val="28"/>
                <w:szCs w:val="28"/>
                <w:lang w:eastAsia="ru-RU"/>
              </w:rPr>
            </w:pPr>
            <w:r w:rsidRPr="00163F30">
              <w:rPr>
                <w:rFonts w:ascii="Times New Roman" w:eastAsia="Times New Roman" w:hAnsi="Times New Roman" w:cs="Times New Roman"/>
                <w:sz w:val="28"/>
                <w:szCs w:val="28"/>
                <w:lang w:eastAsia="ru-RU"/>
              </w:rPr>
              <w:t>Секретарь Пленума,</w:t>
            </w:r>
            <w:r w:rsidRPr="00163F30">
              <w:rPr>
                <w:rFonts w:ascii="Times New Roman" w:eastAsia="Times New Roman" w:hAnsi="Times New Roman" w:cs="Times New Roman"/>
                <w:sz w:val="28"/>
                <w:szCs w:val="28"/>
                <w:lang w:eastAsia="ru-RU"/>
              </w:rPr>
              <w:br/>
              <w:t>судья Верховного Суда</w:t>
            </w:r>
            <w:r w:rsidRPr="00163F30">
              <w:rPr>
                <w:rFonts w:ascii="Times New Roman" w:eastAsia="Times New Roman" w:hAnsi="Times New Roman" w:cs="Times New Roman"/>
                <w:sz w:val="28"/>
                <w:szCs w:val="28"/>
                <w:lang w:eastAsia="ru-RU"/>
              </w:rPr>
              <w:br/>
              <w:t>Российской Федерации</w:t>
            </w:r>
          </w:p>
        </w:tc>
        <w:tc>
          <w:tcPr>
            <w:tcW w:w="2500" w:type="pct"/>
            <w:hideMark/>
          </w:tcPr>
          <w:p w:rsidR="00163F30" w:rsidRPr="00163F30" w:rsidRDefault="00163F30" w:rsidP="00163F30">
            <w:pPr>
              <w:spacing w:after="0" w:line="240" w:lineRule="auto"/>
              <w:ind w:firstLine="567"/>
              <w:jc w:val="both"/>
              <w:rPr>
                <w:rFonts w:ascii="Times New Roman" w:eastAsia="Times New Roman" w:hAnsi="Times New Roman" w:cs="Times New Roman"/>
                <w:sz w:val="28"/>
                <w:szCs w:val="28"/>
                <w:lang w:eastAsia="ru-RU"/>
              </w:rPr>
            </w:pPr>
            <w:r w:rsidRPr="00163F30">
              <w:rPr>
                <w:rFonts w:ascii="Times New Roman" w:eastAsia="Times New Roman" w:hAnsi="Times New Roman" w:cs="Times New Roman"/>
                <w:sz w:val="28"/>
                <w:szCs w:val="28"/>
                <w:lang w:eastAsia="ru-RU"/>
              </w:rPr>
              <w:t>В.В. </w:t>
            </w:r>
            <w:proofErr w:type="spellStart"/>
            <w:r w:rsidRPr="00163F30">
              <w:rPr>
                <w:rFonts w:ascii="Times New Roman" w:eastAsia="Times New Roman" w:hAnsi="Times New Roman" w:cs="Times New Roman"/>
                <w:sz w:val="28"/>
                <w:szCs w:val="28"/>
                <w:lang w:eastAsia="ru-RU"/>
              </w:rPr>
              <w:t>Момотов</w:t>
            </w:r>
            <w:proofErr w:type="spellEnd"/>
          </w:p>
        </w:tc>
      </w:tr>
    </w:tbl>
    <w:p w:rsidR="006F522B" w:rsidRPr="00163F30" w:rsidRDefault="006F522B" w:rsidP="00163F30">
      <w:pPr>
        <w:ind w:firstLine="567"/>
        <w:jc w:val="both"/>
        <w:rPr>
          <w:rFonts w:ascii="Times New Roman" w:hAnsi="Times New Roman" w:cs="Times New Roman"/>
          <w:sz w:val="28"/>
          <w:szCs w:val="28"/>
        </w:rPr>
      </w:pPr>
    </w:p>
    <w:sectPr w:rsidR="006F522B" w:rsidRPr="00163F30" w:rsidSect="006F52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characterSpacingControl w:val="doNotCompress"/>
  <w:compat/>
  <w:rsids>
    <w:rsidRoot w:val="00163F30"/>
    <w:rsid w:val="00163F30"/>
    <w:rsid w:val="006F522B"/>
    <w:rsid w:val="00B363D7"/>
    <w:rsid w:val="00BB13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22B"/>
  </w:style>
  <w:style w:type="paragraph" w:styleId="2">
    <w:name w:val="heading 2"/>
    <w:basedOn w:val="a"/>
    <w:link w:val="20"/>
    <w:uiPriority w:val="9"/>
    <w:qFormat/>
    <w:rsid w:val="00163F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63F30"/>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163F3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90541558">
      <w:bodyDiv w:val="1"/>
      <w:marLeft w:val="0"/>
      <w:marRight w:val="0"/>
      <w:marTop w:val="0"/>
      <w:marBottom w:val="0"/>
      <w:divBdr>
        <w:top w:val="none" w:sz="0" w:space="0" w:color="auto"/>
        <w:left w:val="none" w:sz="0" w:space="0" w:color="auto"/>
        <w:bottom w:val="none" w:sz="0" w:space="0" w:color="auto"/>
        <w:right w:val="none" w:sz="0" w:space="0" w:color="auto"/>
      </w:divBdr>
      <w:divsChild>
        <w:div w:id="425347081">
          <w:marLeft w:val="0"/>
          <w:marRight w:val="0"/>
          <w:marTop w:val="0"/>
          <w:marBottom w:val="180"/>
          <w:divBdr>
            <w:top w:val="none" w:sz="0" w:space="0" w:color="auto"/>
            <w:left w:val="none" w:sz="0" w:space="0" w:color="auto"/>
            <w:bottom w:val="none" w:sz="0" w:space="0" w:color="auto"/>
            <w:right w:val="none" w:sz="0" w:space="0" w:color="auto"/>
          </w:divBdr>
        </w:div>
        <w:div w:id="336738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5275</Words>
  <Characters>30071</Characters>
  <Application>Microsoft Office Word</Application>
  <DocSecurity>0</DocSecurity>
  <Lines>250</Lines>
  <Paragraphs>70</Paragraphs>
  <ScaleCrop>false</ScaleCrop>
  <Company>MultiDVD Team</Company>
  <LinksUpToDate>false</LinksUpToDate>
  <CharactersWithSpaces>35276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2022-02-04T07:39:00Z</dcterms:created>
  <dcterms:modified xsi:type="dcterms:W3CDTF">2022-02-04T07:41:00Z</dcterms:modified>
</cp:coreProperties>
</file>